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/>
        <w:jc w:val="center"/>
      </w:pPr>
      <w:r>
        <w:drawing>
          <wp:inline xmlns:a="http://schemas.openxmlformats.org/drawingml/2006/main" xmlns:pic="http://schemas.openxmlformats.org/drawingml/2006/picture">
            <wp:extent cx="1920240" cy="131528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fw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31528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/>
        <w:jc w:val="center"/>
      </w:pPr>
      <w:r>
        <w:rPr>
          <w:rFonts w:ascii="Quicksand" w:hAnsi="Quicksand"/>
          <w:b/>
          <w:i w:val="0"/>
          <w:color w:val="CC4237"/>
          <w:sz w:val="21"/>
        </w:rPr>
        <w:t>WHOLEBEING FOR EDUCATORS · LESSON PLAN</w:t>
      </w:r>
    </w:p>
    <w:p>
      <w:pPr>
        <w:spacing w:after="60"/>
        <w:jc w:val="center"/>
      </w:pPr>
      <w:r>
        <w:rPr>
          <w:rFonts w:ascii="Quicksand" w:hAnsi="Quicksand"/>
          <w:b/>
          <w:i w:val="0"/>
          <w:color w:val="171636"/>
          <w:sz w:val="52"/>
        </w:rPr>
        <w:t>What it means to be heard</w:t>
      </w:r>
    </w:p>
    <w:p>
      <w:pPr>
        <w:spacing w:after="240"/>
        <w:jc w:val="center"/>
      </w:pPr>
      <w:r>
        <w:rPr>
          <w:rFonts w:ascii="PT Sans" w:hAnsi="PT Sans"/>
          <w:b w:val="0"/>
          <w:i w:val="0"/>
          <w:color w:val="5C4B51"/>
          <w:sz w:val="22"/>
        </w:rPr>
        <w:t>The skill of hosting conversations  ·  community  ·  one class period  ·  ages 13 to 18</w:t>
      </w:r>
    </w:p>
    <w:p>
      <w:pPr>
        <w:spacing w:after="160"/>
        <w:jc w:val="center"/>
      </w:pPr>
      <w:r>
        <w:drawing>
          <wp:inline xmlns:a="http://schemas.openxmlformats.org/drawingml/2006/main" xmlns:pic="http://schemas.openxmlformats.org/drawingml/2006/picture">
            <wp:extent cx="2834640" cy="283464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eb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834640" cy="28346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/>
        <w:jc w:val="center"/>
      </w:pPr>
      <w:r>
        <w:rPr>
          <w:rFonts w:ascii="Quicksand" w:hAnsi="Quicksand"/>
          <w:b/>
          <w:i w:val="0"/>
          <w:color w:val="CC4237"/>
          <w:sz w:val="24"/>
        </w:rPr>
        <w:t>Learning intention</w:t>
      </w:r>
    </w:p>
    <w:p>
      <w:pPr>
        <w:spacing w:after="120"/>
        <w:jc w:val="center"/>
      </w:pPr>
      <w:r>
        <w:rPr>
          <w:rFonts w:ascii="PT Sans" w:hAnsi="PT Sans"/>
          <w:b w:val="0"/>
          <w:i w:val="0"/>
          <w:color w:val="171636"/>
          <w:sz w:val="22"/>
        </w:rPr>
        <w:t>By the end of this lesson, students can listen for a sustained turn, reflect back what they heard and identify something that pulls attention away.</w:t>
      </w:r>
    </w:p>
    <w:p>
      <w:r>
        <w:br w:type="page"/>
      </w:r>
    </w:p>
    <w:p>
      <w:pPr>
        <w:spacing w:before="260" w:after="60"/>
      </w:pPr>
      <w:r>
        <w:rPr>
          <w:rFonts w:ascii="Quicksand" w:hAnsi="Quicksand"/>
          <w:b/>
          <w:color w:val="CC4237"/>
          <w:sz w:val="28"/>
        </w:rPr>
        <w:t>The big idea</w:t>
      </w:r>
    </w:p>
    <w:p>
      <w:pPr>
        <w:spacing w:after="120"/>
      </w:pPr>
      <w:r>
        <w:rPr>
          <w:rFonts w:ascii="PT Sans" w:hAnsi="PT Sans"/>
          <w:b w:val="0"/>
          <w:i w:val="0"/>
          <w:color w:val="171636"/>
          <w:sz w:val="22"/>
        </w:rPr>
        <w:t>Many conversations happen beside notifications, tiredness and the pressure to prepare a reply. Listening well means giving enough attention to understand what another person is trying to say. It will not settle every disagreement. It can make a conversation more accurate and more human.</w:t>
      </w:r>
    </w:p>
    <w:p>
      <w:pPr>
        <w:spacing w:before="260" w:after="60"/>
      </w:pPr>
      <w:r>
        <w:rPr>
          <w:rFonts w:ascii="Quicksand" w:hAnsi="Quicksand"/>
          <w:b/>
          <w:color w:val="CC4237"/>
          <w:sz w:val="28"/>
        </w:rPr>
        <w:t>Opener (5 min): One word for the road</w:t>
      </w:r>
    </w:p>
    <w:p>
      <w:pPr>
        <w:spacing w:after="120"/>
      </w:pPr>
      <w:r>
        <w:rPr>
          <w:rFonts w:ascii="PT Sans" w:hAnsi="PT Sans"/>
          <w:b w:val="0"/>
          <w:i w:val="0"/>
          <w:color w:val="5C4B51"/>
          <w:sz w:val="22"/>
        </w:rPr>
        <w:t>Use One word for the road to practise receiving without replying. Offer your own word first, and let pass remain a full response.</w:t>
      </w:r>
    </w:p>
    <w:p>
      <w:pPr>
        <w:spacing w:before="260" w:after="60"/>
      </w:pPr>
      <w:r>
        <w:rPr>
          <w:rFonts w:ascii="Quicksand" w:hAnsi="Quicksand"/>
          <w:b/>
          <w:color w:val="CC4237"/>
          <w:sz w:val="28"/>
        </w:rPr>
        <w:t>Explore (10 min)</w:t>
      </w:r>
    </w:p>
    <w:p>
      <w:pPr>
        <w:spacing w:after="120"/>
      </w:pPr>
      <w:r>
        <w:rPr>
          <w:rFonts w:ascii="PT Sans" w:hAnsi="PT Sans"/>
          <w:b w:val="0"/>
          <w:i/>
          <w:color w:val="171636"/>
          <w:sz w:val="22"/>
        </w:rPr>
        <w:t>Listening means following what someone means, and coming back honestly when our attention wanders. We do not pretend we heard what we missed.</w:t>
      </w:r>
    </w:p>
    <w:p>
      <w:pPr>
        <w:spacing w:after="120"/>
      </w:pPr>
      <w:r>
        <w:rPr>
          <w:rFonts w:ascii="PT Sans" w:hAnsi="PT Sans"/>
          <w:b w:val="0"/>
          <w:i/>
          <w:color w:val="171636"/>
          <w:sz w:val="22"/>
        </w:rPr>
        <w:t>Reflecting back can help us check our understanding. It is a brief account of what the speaker chose to say. It does not guess at hidden feelings. A useful listener can also ask whether the person wants a question, a response or simply to be heard.</w:t>
      </w:r>
    </w:p>
    <w:p>
      <w:pPr>
        <w:spacing w:after="40"/>
      </w:pPr>
      <w:r>
        <w:rPr>
          <w:rFonts w:ascii="Quicksand" w:hAnsi="Quicksand"/>
          <w:b/>
          <w:i w:val="0"/>
          <w:color w:val="CC4237"/>
          <w:sz w:val="23"/>
        </w:rPr>
        <w:t>Discuss</w:t>
      </w:r>
    </w:p>
    <w:p>
      <w:pPr>
        <w:pStyle w:val="ListBullet"/>
      </w:pPr>
      <w:r>
        <w:t>What do people do that shows they are listening, and which signs may vary between people or cultures?</w:t>
      </w:r>
    </w:p>
    <w:p>
      <w:pPr>
        <w:pStyle w:val="ListBullet"/>
      </w:pPr>
      <w:r>
        <w:t>What commonly pulls attention away from a conversation?</w:t>
      </w:r>
    </w:p>
    <w:p>
      <w:pPr>
        <w:pStyle w:val="ListBullet"/>
      </w:pPr>
      <w:r>
        <w:t>How can someone repair a moment when they realise they stopped listening?</w:t>
      </w:r>
    </w:p>
    <w:p>
      <w:pPr>
        <w:spacing w:before="260" w:after="60"/>
      </w:pPr>
      <w:r>
        <w:rPr>
          <w:rFonts w:ascii="Quicksand" w:hAnsi="Quicksand"/>
          <w:b/>
          <w:color w:val="CC4237"/>
          <w:sz w:val="28"/>
        </w:rPr>
        <w:t>Activity (18 min): An uninterrupted 90 seconds</w:t>
      </w:r>
    </w:p>
    <w:p>
      <w:pPr>
        <w:spacing w:after="120"/>
      </w:pPr>
      <w:r>
        <w:rPr>
          <w:rFonts w:ascii="PT Sans" w:hAnsi="PT Sans"/>
          <w:b w:val="0"/>
          <w:i w:val="0"/>
          <w:color w:val="5C4B51"/>
          <w:sz w:val="21"/>
        </w:rPr>
        <w:t>Materials: an optional topic menu and a timer  ·  Grouping: pairs</w:t>
      </w:r>
    </w:p>
    <w:p>
      <w:pPr>
        <w:pStyle w:val="ListNumber"/>
      </w:pPr>
      <w:r>
        <w:t>Arrange pairs and offer light topics, such as a film to recommend, an ideal Saturday or something ordinary to look forward to. Students may choose another safe topic or pass.</w:t>
      </w:r>
    </w:p>
    <w:p>
      <w:pPr>
        <w:pStyle w:val="ListNumber"/>
      </w:pPr>
      <w:r>
        <w:t>Partner A speaks for up to 90 seconds while Partner B listens without interrupting, advising or moving the conversation to their own experience.</w:t>
      </w:r>
    </w:p>
    <w:p>
      <w:pPr>
        <w:pStyle w:val="ListNumber"/>
      </w:pPr>
      <w:r>
        <w:t>Partner B reflects one sentence beginning, "What I heard was..." or "What seemed important in what you said was..."</w:t>
      </w:r>
    </w:p>
    <w:p>
      <w:pPr>
        <w:pStyle w:val="ListNumber"/>
      </w:pPr>
      <w:r>
        <w:t>The speaker can correct the reflection, and the listener may ask one open question if it is welcome.</w:t>
      </w:r>
    </w:p>
    <w:p>
      <w:pPr>
        <w:pStyle w:val="ListNumber"/>
      </w:pPr>
      <w:r>
        <w:t>Swap roles and repeat.</w:t>
      </w:r>
    </w:p>
    <w:p>
      <w:pPr>
        <w:pStyle w:val="ListNumber"/>
      </w:pPr>
      <w:r>
        <w:t>Discuss the process rather than the content: what supported attention, when did it wander and how did the listener return?</w:t>
      </w:r>
    </w:p>
    <w:p>
      <w:pPr>
        <w:spacing w:before="260" w:after="60"/>
      </w:pPr>
      <w:r>
        <w:rPr>
          <w:rFonts w:ascii="Quicksand" w:hAnsi="Quicksand"/>
          <w:b/>
          <w:color w:val="CC4237"/>
          <w:sz w:val="28"/>
        </w:rPr>
        <w:t>Reflect (5 min)</w:t>
      </w:r>
    </w:p>
    <w:p>
      <w:pPr>
        <w:spacing w:after="120"/>
      </w:pPr>
      <w:r>
        <w:rPr>
          <w:rFonts w:ascii="PT Sans" w:hAnsi="PT Sans"/>
          <w:b w:val="0"/>
          <w:i w:val="0"/>
          <w:color w:val="171636"/>
          <w:sz w:val="22"/>
        </w:rPr>
        <w:t>What tends to pull your attention away in a conversation, and what could help you return honestly when you notice it happening?</w:t>
      </w:r>
    </w:p>
    <w:p>
      <w:pPr>
        <w:spacing w:after="120"/>
      </w:pPr>
      <w:r>
        <w:rPr>
          <w:rFonts w:ascii="PT Sans" w:hAnsi="PT Sans"/>
          <w:b w:val="0"/>
          <w:i w:val="0"/>
          <w:color w:val="5C4B51"/>
          <w:sz w:val="21"/>
        </w:rPr>
        <w:t>How: private journal</w:t>
      </w:r>
    </w:p>
    <w:p>
      <w:pPr>
        <w:spacing w:before="260" w:after="60"/>
      </w:pPr>
      <w:r>
        <w:rPr>
          <w:rFonts w:ascii="Quicksand" w:hAnsi="Quicksand"/>
          <w:b/>
          <w:color w:val="CC4237"/>
          <w:sz w:val="28"/>
        </w:rPr>
        <w:t>Close (2 min)</w:t>
      </w:r>
    </w:p>
    <w:p>
      <w:pPr>
        <w:spacing w:after="120"/>
      </w:pPr>
      <w:r>
        <w:rPr>
          <w:rFonts w:ascii="PT Sans" w:hAnsi="PT Sans"/>
          <w:b w:val="0"/>
          <w:i w:val="0"/>
          <w:color w:val="171636"/>
          <w:sz w:val="22"/>
        </w:rPr>
        <w:t>Full attention will not be possible in every moment. Listening is the practice of coming back, and letting the other person finish their own thought.</w:t>
      </w:r>
    </w:p>
    <w:p>
      <w:pPr>
        <w:spacing w:before="260" w:after="60"/>
      </w:pPr>
      <w:r>
        <w:rPr>
          <w:rFonts w:ascii="Quicksand" w:hAnsi="Quicksand"/>
          <w:b/>
          <w:color w:val="CC4237"/>
          <w:sz w:val="28"/>
        </w:rPr>
        <w:t>In other settings</w:t>
      </w:r>
    </w:p>
    <w:p>
      <w:pPr>
        <w:spacing w:after="120"/>
      </w:pPr>
      <w:r>
        <w:rPr>
          <w:rFonts w:ascii="PT Sans" w:hAnsi="PT Sans"/>
          <w:b w:val="0"/>
          <w:i w:val="0"/>
          <w:color w:val="5C4B51"/>
          <w:sz w:val="22"/>
        </w:rPr>
        <w:t>Form or tutor time (advisory / homeroom): Use the one-word opener, then run one 60-second listening round with a reflect-back.</w:t>
      </w:r>
    </w:p>
    <w:p>
      <w:pPr>
        <w:spacing w:after="120"/>
      </w:pPr>
      <w:r>
        <w:rPr>
          <w:rFonts w:ascii="PT Sans" w:hAnsi="PT Sans"/>
          <w:b w:val="0"/>
          <w:i w:val="0"/>
          <w:color w:val="5C4B51"/>
          <w:sz w:val="22"/>
        </w:rPr>
        <w:t>Assembly or large-group gathering: Describe attentive listening and invite students to think privately of the varied ways a trusted listener shows attention.</w:t>
      </w:r>
    </w:p>
    <w:p>
      <w:pPr>
        <w:spacing w:after="120"/>
      </w:pPr>
      <w:r>
        <w:rPr>
          <w:rFonts w:ascii="PT Sans" w:hAnsi="PT Sans"/>
          <w:b w:val="0"/>
          <w:i w:val="0"/>
          <w:color w:val="5C4B51"/>
          <w:sz w:val="22"/>
        </w:rPr>
        <w:t>Youth club or small group: Use longer paired rounds and discuss how the group wants to handle interruption, silence and repair.</w:t>
      </w:r>
    </w:p>
    <w:p>
      <w:pPr>
        <w:spacing w:before="260" w:after="60"/>
      </w:pPr>
      <w:r>
        <w:rPr>
          <w:rFonts w:ascii="Quicksand" w:hAnsi="Quicksand"/>
          <w:b/>
          <w:color w:val="CC4237"/>
          <w:sz w:val="28"/>
        </w:rPr>
        <w:t>Adapting for age</w:t>
      </w:r>
    </w:p>
    <w:p>
      <w:pPr>
        <w:spacing w:after="120"/>
      </w:pPr>
      <w:r>
        <w:rPr>
          <w:rFonts w:ascii="PT Sans" w:hAnsi="PT Sans"/>
          <w:b w:val="0"/>
          <w:i w:val="0"/>
          <w:color w:val="5C4B51"/>
          <w:sz w:val="22"/>
        </w:rPr>
        <w:t>13 to 15: Use 45- to 60-second turns, keep the topic menu and reflection stems visible, and model one complete round.</w:t>
      </w:r>
    </w:p>
    <w:p>
      <w:pPr>
        <w:spacing w:after="120"/>
      </w:pPr>
      <w:r>
        <w:rPr>
          <w:rFonts w:ascii="PT Sans" w:hAnsi="PT Sans"/>
          <w:b w:val="0"/>
          <w:i w:val="0"/>
          <w:color w:val="5C4B51"/>
          <w:sz w:val="22"/>
        </w:rPr>
        <w:t>16 to 18: Use the full 90 seconds and explore listening during disagreement, including when reflection does not mean agreement.</w:t>
      </w:r>
    </w:p>
    <w:p>
      <w:pPr>
        <w:spacing w:before="260" w:after="60"/>
      </w:pPr>
      <w:r>
        <w:rPr>
          <w:rFonts w:ascii="Quicksand" w:hAnsi="Quicksand"/>
          <w:b/>
          <w:color w:val="CC4237"/>
          <w:sz w:val="28"/>
        </w:rPr>
        <w:t>Curriculum links</w:t>
      </w:r>
    </w:p>
    <w:p>
      <w:pPr>
        <w:spacing w:after="120"/>
      </w:pPr>
      <w:r>
        <w:rPr>
          <w:rFonts w:ascii="PT Sans" w:hAnsi="PT Sans"/>
          <w:b w:val="0"/>
          <w:i w:val="0"/>
          <w:color w:val="5C4B51"/>
          <w:sz w:val="20"/>
        </w:rPr>
        <w:t>IB · Approaches to Learning: Social: collaboration skills (listening actively to other perspectives); Communication: communication skills</w:t>
      </w:r>
    </w:p>
    <w:p>
      <w:pPr>
        <w:spacing w:after="120"/>
      </w:pPr>
      <w:r>
        <w:rPr>
          <w:rFonts w:ascii="PT Sans" w:hAnsi="PT Sans"/>
          <w:b w:val="0"/>
          <w:i w:val="0"/>
          <w:color w:val="5C4B51"/>
          <w:sz w:val="20"/>
        </w:rPr>
        <w:t>OECD Learning Compass 2030: Skills: social and emotional skills (empathy, collaboration)</w:t>
      </w:r>
    </w:p>
    <w:p>
      <w:pPr>
        <w:spacing w:after="120"/>
      </w:pPr>
      <w:r>
        <w:rPr>
          <w:rFonts w:ascii="PT Sans" w:hAnsi="PT Sans"/>
          <w:b w:val="0"/>
          <w:i w:val="0"/>
          <w:color w:val="5C4B51"/>
          <w:sz w:val="20"/>
        </w:rPr>
        <w:t>UNESCO MGIEP · SEL (EMC framework): Empathy; Mindfulness (attention regulation)</w:t>
      </w:r>
    </w:p>
    <w:p>
      <w:pPr>
        <w:spacing w:after="120"/>
      </w:pPr>
      <w:r>
        <w:rPr>
          <w:rFonts w:ascii="PT Sans" w:hAnsi="PT Sans"/>
          <w:b w:val="0"/>
          <w:i w:val="0"/>
          <w:color w:val="5C4B51"/>
          <w:sz w:val="20"/>
        </w:rPr>
        <w:t>WHO · Life skills education: Effective communication — listening and reflecting back what was said; Interpersonal relationship skills</w:t>
      </w:r>
    </w:p>
    <w:p>
      <w:pPr>
        <w:spacing w:after="120"/>
      </w:pPr>
      <w:r>
        <w:rPr>
          <w:rFonts w:ascii="PT Sans" w:hAnsi="PT Sans"/>
          <w:b w:val="0"/>
          <w:i w:val="0"/>
          <w:color w:val="5C4B51"/>
          <w:sz w:val="20"/>
        </w:rPr>
        <w:t>EU · LifeComp: S2 Communication — listening and engaging in conversations with reciprocity (S2.3); S1 Empathy — another's perspective (S1.2)</w:t>
      </w:r>
    </w:p>
    <w:p>
      <w:pPr>
        <w:spacing w:after="120"/>
      </w:pPr>
      <w:r>
        <w:rPr>
          <w:rFonts w:ascii="PT Sans" w:hAnsi="PT Sans"/>
          <w:b w:val="0"/>
          <w:i w:val="0"/>
          <w:color w:val="5C4B51"/>
          <w:sz w:val="20"/>
        </w:rPr>
        <w:t>UNICEF MENA · Life Skills &amp; Citizenship Education: Communication — listening and reflecting back shared meaning; Empathy</w:t>
      </w:r>
    </w:p>
    <w:p>
      <w:pPr>
        <w:spacing w:after="120"/>
      </w:pPr>
      <w:r>
        <w:rPr>
          <w:rFonts w:ascii="PT Sans" w:hAnsi="PT Sans"/>
          <w:b w:val="0"/>
          <w:i w:val="0"/>
          <w:color w:val="5C4B51"/>
          <w:sz w:val="20"/>
        </w:rPr>
        <w:t>Australia · Personal &amp; Social Capability: Social awareness — empathy; Social management — communication</w:t>
      </w:r>
    </w:p>
    <w:p>
      <w:pPr>
        <w:spacing w:after="120"/>
      </w:pPr>
      <w:r>
        <w:rPr>
          <w:rFonts w:ascii="PT Sans" w:hAnsi="PT Sans"/>
          <w:b w:val="0"/>
          <w:i w:val="0"/>
          <w:color w:val="5C4B51"/>
          <w:sz w:val="20"/>
        </w:rPr>
        <w:t>Brazil · BNCC general competences: Communication (GC 4) — producing meanings that lead to mutual understanding; Empathy and cooperation (GC 9) — dialogue</w:t>
      </w:r>
    </w:p>
    <w:p>
      <w:pPr>
        <w:spacing w:after="120"/>
      </w:pPr>
      <w:r>
        <w:rPr>
          <w:rFonts w:ascii="PT Sans" w:hAnsi="PT Sans"/>
          <w:b w:val="0"/>
          <w:i w:val="0"/>
          <w:color w:val="5C4B51"/>
          <w:sz w:val="20"/>
        </w:rPr>
        <w:t>Canada · British Columbia: Communicating — connecting and engaging with others; focusing on intent and purpose</w:t>
      </w:r>
    </w:p>
    <w:p>
      <w:pPr>
        <w:spacing w:after="120"/>
      </w:pPr>
      <w:r>
        <w:rPr>
          <w:rFonts w:ascii="PT Sans" w:hAnsi="PT Sans"/>
          <w:b w:val="0"/>
          <w:i w:val="0"/>
          <w:color w:val="5C4B51"/>
          <w:sz w:val="20"/>
        </w:rPr>
        <w:t>Canada · Ontario: Interpersonal skills — active listening: paraphrasing, clarifying, questioning, responding (1.3) · Gr 7–8: A1.4 (listening)</w:t>
      </w:r>
    </w:p>
    <w:p>
      <w:pPr>
        <w:spacing w:after="120"/>
      </w:pPr>
      <w:r>
        <w:rPr>
          <w:rFonts w:ascii="PT Sans" w:hAnsi="PT Sans"/>
          <w:b w:val="0"/>
          <w:i w:val="0"/>
          <w:color w:val="5C4B51"/>
          <w:sz w:val="20"/>
        </w:rPr>
        <w:t>Chile · Orientación: Interpersonal relationships — dialogue and empathic listening (OA 6, 7°–8°)</w:t>
      </w:r>
    </w:p>
    <w:p>
      <w:pPr>
        <w:spacing w:after="120"/>
      </w:pPr>
      <w:r>
        <w:rPr>
          <w:rFonts w:ascii="PT Sans" w:hAnsi="PT Sans"/>
          <w:b w:val="0"/>
          <w:i w:val="0"/>
          <w:color w:val="5C4B51"/>
          <w:sz w:val="20"/>
        </w:rPr>
        <w:t>England · DfE RSHE (statutory): Respectful relationships: communicating respectfully (statement 5)</w:t>
      </w:r>
    </w:p>
    <w:p>
      <w:pPr>
        <w:spacing w:after="120"/>
      </w:pPr>
      <w:r>
        <w:rPr>
          <w:rFonts w:ascii="PT Sans" w:hAnsi="PT Sans"/>
          <w:b w:val="0"/>
          <w:i w:val="0"/>
          <w:color w:val="5C4B51"/>
          <w:sz w:val="20"/>
        </w:rPr>
        <w:t>England · PSHE Association: Relationships: forming and maintaining respectful relationships, active listening and clear communication (KS3 R16)</w:t>
      </w:r>
    </w:p>
    <w:p>
      <w:pPr>
        <w:spacing w:after="120"/>
      </w:pPr>
      <w:r>
        <w:rPr>
          <w:rFonts w:ascii="PT Sans" w:hAnsi="PT Sans"/>
          <w:b w:val="0"/>
          <w:i w:val="0"/>
          <w:color w:val="5C4B51"/>
          <w:sz w:val="20"/>
        </w:rPr>
        <w:t>Finland · Transversal competences: L1 Thinking and learning to learn — listening to oneself and others; L2 Cultural competence, interaction and self-expression — dialogue</w:t>
      </w:r>
    </w:p>
    <w:p>
      <w:pPr>
        <w:spacing w:after="120"/>
      </w:pPr>
      <w:r>
        <w:rPr>
          <w:rFonts w:ascii="PT Sans" w:hAnsi="PT Sans"/>
          <w:b w:val="0"/>
          <w:i w:val="0"/>
          <w:color w:val="5C4B51"/>
          <w:sz w:val="20"/>
        </w:rPr>
        <w:t>Ghana · NaCCA core competencies (JHS): Communication and Collaboration — listening to and learning from others</w:t>
      </w:r>
    </w:p>
    <w:p>
      <w:pPr>
        <w:spacing w:after="120"/>
      </w:pPr>
      <w:r>
        <w:rPr>
          <w:rFonts w:ascii="PT Sans" w:hAnsi="PT Sans"/>
          <w:b w:val="0"/>
          <w:i w:val="0"/>
          <w:color w:val="5C4B51"/>
          <w:sz w:val="20"/>
        </w:rPr>
        <w:t>Hong Kong · Values Education Curriculum Framework (2026): Respect for Others (尊重他人) — respectful discussion, harmony in difference (和而不同, S4–S6); Empathy (同理心)</w:t>
      </w:r>
    </w:p>
    <w:p>
      <w:pPr>
        <w:spacing w:after="120"/>
      </w:pPr>
      <w:r>
        <w:rPr>
          <w:rFonts w:ascii="PT Sans" w:hAnsi="PT Sans"/>
          <w:b w:val="0"/>
          <w:i w:val="0"/>
          <w:color w:val="5C4B51"/>
          <w:sz w:val="20"/>
        </w:rPr>
        <w:t>India · NEP 2020: Oral and written communication (NEP 4.23); Socio-emotional learning (NEP 5.14)</w:t>
      </w:r>
    </w:p>
    <w:p>
      <w:pPr>
        <w:spacing w:after="120"/>
      </w:pPr>
      <w:r>
        <w:rPr>
          <w:rFonts w:ascii="PT Sans" w:hAnsi="PT Sans"/>
          <w:b w:val="0"/>
          <w:i w:val="0"/>
          <w:color w:val="5C4B51"/>
          <w:sz w:val="20"/>
        </w:rPr>
        <w:t>Indonesia · 8 dimensi profil lulusan: Communication (komunikasi) — listening (menyimak) well and ethically in different contexts</w:t>
      </w:r>
    </w:p>
    <w:p>
      <w:pPr>
        <w:spacing w:after="120"/>
      </w:pPr>
      <w:r>
        <w:rPr>
          <w:rFonts w:ascii="PT Sans" w:hAnsi="PT Sans"/>
          <w:b w:val="0"/>
          <w:i w:val="0"/>
          <w:color w:val="5C4B51"/>
          <w:sz w:val="20"/>
        </w:rPr>
        <w:t>Ireland · Junior Cycle Wellbeing: Respected — being listened to and valued; positive relationships with friends, peers and teachers</w:t>
      </w:r>
    </w:p>
    <w:p>
      <w:pPr>
        <w:spacing w:after="120"/>
      </w:pPr>
      <w:r>
        <w:rPr>
          <w:rFonts w:ascii="PT Sans" w:hAnsi="PT Sans"/>
          <w:b w:val="0"/>
          <w:i w:val="0"/>
          <w:color w:val="5C4B51"/>
          <w:sz w:val="20"/>
        </w:rPr>
        <w:t>Japan · Courses of Study (lower secondary): Moral education B — mutual understanding: conveying and respecting views (相互理解，寛容); courtesy (礼儀)</w:t>
      </w:r>
    </w:p>
    <w:p>
      <w:pPr>
        <w:spacing w:after="120"/>
      </w:pPr>
      <w:r>
        <w:rPr>
          <w:rFonts w:ascii="PT Sans" w:hAnsi="PT Sans"/>
          <w:b w:val="0"/>
          <w:i w:val="0"/>
          <w:color w:val="5C4B51"/>
          <w:sz w:val="20"/>
        </w:rPr>
        <w:t>Kenya · CBC core competencies &amp; values: Communication and Collaboration — interacting well: accuracy, clarity, comprehensibility</w:t>
      </w:r>
    </w:p>
    <w:p>
      <w:pPr>
        <w:spacing w:after="120"/>
      </w:pPr>
      <w:r>
        <w:rPr>
          <w:rFonts w:ascii="PT Sans" w:hAnsi="PT Sans"/>
          <w:b w:val="0"/>
          <w:i w:val="0"/>
          <w:color w:val="5C4B51"/>
          <w:sz w:val="20"/>
        </w:rPr>
        <w:t>Mexico · Nueva Escuela Mexicana: Ways of being, thinking, acting and relating — promoting mutual understanding</w:t>
      </w:r>
    </w:p>
    <w:p>
      <w:pPr>
        <w:spacing w:after="120"/>
      </w:pPr>
      <w:r>
        <w:rPr>
          <w:rFonts w:ascii="PT Sans" w:hAnsi="PT Sans"/>
          <w:b w:val="0"/>
          <w:i w:val="0"/>
          <w:color w:val="5C4B51"/>
          <w:sz w:val="20"/>
        </w:rPr>
        <w:t>New Zealand · Health and Physical Education: Relationships with other people — interpersonal skills; KAL mental health — listening to the ideas and feelings of others</w:t>
      </w:r>
    </w:p>
    <w:p>
      <w:pPr>
        <w:spacing w:after="120"/>
      </w:pPr>
      <w:r>
        <w:rPr>
          <w:rFonts w:ascii="PT Sans" w:hAnsi="PT Sans"/>
          <w:b w:val="0"/>
          <w:i w:val="0"/>
          <w:color w:val="5C4B51"/>
          <w:sz w:val="20"/>
        </w:rPr>
        <w:t>Scotland · Health and wellbeing (CfE): Relationships — responding appropriately to verbal and non-verbal communication (HWB 3-45b); sustaining relationships (HWB 3-44b)</w:t>
      </w:r>
    </w:p>
    <w:p>
      <w:pPr>
        <w:spacing w:after="120"/>
      </w:pPr>
      <w:r>
        <w:rPr>
          <w:rFonts w:ascii="PT Sans" w:hAnsi="PT Sans"/>
          <w:b w:val="0"/>
          <w:i w:val="0"/>
          <w:color w:val="5C4B51"/>
          <w:sz w:val="20"/>
        </w:rPr>
        <w:t>Singapore · Character &amp; Citizenship Education: SEC: social awareness and relationship management</w:t>
      </w:r>
    </w:p>
    <w:p>
      <w:pPr>
        <w:spacing w:after="120"/>
      </w:pPr>
      <w:r>
        <w:rPr>
          <w:rFonts w:ascii="PT Sans" w:hAnsi="PT Sans"/>
          <w:b w:val="0"/>
          <w:i w:val="0"/>
          <w:color w:val="5C4B51"/>
          <w:sz w:val="20"/>
        </w:rPr>
        <w:t>South Africa · CAPS Life Orientation: Development of the self in society — communication: understanding others (Gr 12); Study skills — listening and concentration (Gr 10)</w:t>
      </w:r>
    </w:p>
    <w:p>
      <w:pPr>
        <w:spacing w:after="120"/>
      </w:pPr>
      <w:r>
        <w:rPr>
          <w:rFonts w:ascii="PT Sans" w:hAnsi="PT Sans"/>
          <w:b w:val="0"/>
          <w:i w:val="0"/>
          <w:color w:val="5C4B51"/>
          <w:sz w:val="20"/>
        </w:rPr>
        <w:t>US · CASEL competencies: relationship skills, social awareness</w:t>
      </w:r>
    </w:p>
    <w:p>
      <w:pPr>
        <w:spacing w:after="120"/>
      </w:pPr>
      <w:r>
        <w:rPr>
          <w:rFonts w:ascii="PT Sans" w:hAnsi="PT Sans"/>
          <w:b w:val="0"/>
          <w:i w:val="0"/>
          <w:color w:val="5C4B51"/>
          <w:sz w:val="18"/>
        </w:rPr>
        <w:t>A guide, not a claim of full coverage. Check against your own scheme of work.</w:t>
      </w:r>
    </w:p>
    <w:p>
      <w:pPr>
        <w:spacing w:before="260" w:after="60"/>
      </w:pPr>
      <w:r>
        <w:rPr>
          <w:rFonts w:ascii="Quicksand" w:hAnsi="Quicksand"/>
          <w:b/>
          <w:color w:val="CC4237"/>
          <w:sz w:val="28"/>
        </w:rPr>
        <w:t>Holding the room</w:t>
      </w:r>
    </w:p>
    <w:p>
      <w:pPr>
        <w:spacing w:after="120"/>
      </w:pPr>
      <w:r>
        <w:rPr>
          <w:rFonts w:ascii="PT Sans" w:hAnsi="PT Sans"/>
          <w:b w:val="0"/>
          <w:i w:val="0"/>
          <w:color w:val="5C4B51"/>
          <w:sz w:val="22"/>
        </w:rPr>
        <w:t>Use light, self-chosen topics and make passing available. Listeners must not probe, interpret trauma or promise confidentiality. If a disclosure raises concern, pause the activity and follow usual safeguarding procedures privately.</w:t>
      </w:r>
    </w:p>
    <w:p>
      <w:pPr>
        <w:spacing w:after="0"/>
      </w:pPr>
      <w:r>
        <w:rPr>
          <w:rFonts w:ascii="PT Sans" w:hAnsi="PT Sans"/>
          <w:b w:val="0"/>
          <w:i w:val="0"/>
          <w:color w:val="5C4B51"/>
          <w:sz w:val="18"/>
        </w:rPr>
        <w:t>Recipes for Wellbeing · CC BY-NC 4.0 · free for classroom use  ·  deep dive: https://recipesforwellbeing.substack.com/p/the-skill-of-hosting-conversations</w:t>
      </w:r>
    </w:p>
    <w:sectPr w:rsidR="00FC693F" w:rsidRPr="0006063C" w:rsidSect="00034616">
      <w:footerReference w:type="default" r:id="rId11"/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rFonts w:ascii="PT Sans" w:hAnsi="PT Sans"/>
        <w:color w:val="5C4B51"/>
        <w:sz w:val="17"/>
      </w:rPr>
      <w:t>What it means to be heard  ·  https://rfweducators.netlify.app/lessons/listening/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jpg"/><Relationship Id="rId1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