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What you keep coming back to</w:t>
      </w:r>
    </w:p>
    <w:p>
      <w:pPr>
        <w:spacing w:after="240"/>
        <w:jc w:val="center"/>
      </w:pPr>
      <w:r>
        <w:rPr>
          <w:rFonts w:ascii="PT Sans" w:hAnsi="PT Sans"/>
          <w:b w:val="0"/>
          <w:i w:val="0"/>
          <w:color w:val="5C4B51"/>
          <w:sz w:val="22"/>
        </w:rPr>
        <w:t>The skill of commitment  ·  meaning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describe the difference between a habit and a commitment, and identify a flexible way to return to something that matters.</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Commitment is the choice to keep returning to something we value, including after distraction, difficulty or rest. Motivation comes and goes, and plans change. Knowing why something matters can help us change the way we continue without losing the care beneath it.</w:t>
      </w:r>
    </w:p>
    <w:p>
      <w:pPr>
        <w:spacing w:before="260" w:after="60"/>
      </w:pPr>
      <w:r>
        <w:rPr>
          <w:rFonts w:ascii="Quicksand" w:hAnsi="Quicksand"/>
          <w:b/>
          <w:color w:val="CC4237"/>
          <w:sz w:val="28"/>
        </w:rPr>
        <w:t>Opener (5 min): Carrying it forward</w:t>
      </w:r>
    </w:p>
    <w:p>
      <w:pPr>
        <w:spacing w:after="120"/>
      </w:pPr>
      <w:r>
        <w:rPr>
          <w:rFonts w:ascii="PT Sans" w:hAnsi="PT Sans"/>
          <w:b w:val="0"/>
          <w:i w:val="0"/>
          <w:color w:val="5C4B51"/>
          <w:sz w:val="22"/>
        </w:rPr>
        <w:t>Use Carrying it forward as a private look back. A few students may share one sentence, but silence and passing remain complete ways to take part.</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A habit is something we repeat, sometimes without thinking. A commitment is connected to a value or relationship we have chosen to care for. The same action can be either, depending on what it means to the person doing it.</w:t>
      </w:r>
    </w:p>
    <w:p>
      <w:pPr>
        <w:spacing w:after="120"/>
      </w:pPr>
      <w:r>
        <w:rPr>
          <w:rFonts w:ascii="PT Sans" w:hAnsi="PT Sans"/>
          <w:b w:val="0"/>
          <w:i/>
          <w:color w:val="171636"/>
          <w:sz w:val="22"/>
        </w:rPr>
        <w:t>Commitment does not mean holding on at any cost. Circumstances change, and a promise may need a different form, support or boundary. We can stay close to the reason while changing the method, and we can reconsider a commitment that has become harmful or no longer belongs to us.</w:t>
      </w:r>
    </w:p>
    <w:p>
      <w:pPr>
        <w:spacing w:after="40"/>
      </w:pPr>
      <w:r>
        <w:rPr>
          <w:rFonts w:ascii="Quicksand" w:hAnsi="Quicksand"/>
          <w:b/>
          <w:i w:val="0"/>
          <w:color w:val="CC4237"/>
          <w:sz w:val="23"/>
        </w:rPr>
        <w:t>Discuss</w:t>
      </w:r>
    </w:p>
    <w:p>
      <w:pPr>
        <w:pStyle w:val="ListBullet"/>
      </w:pPr>
      <w:r>
        <w:t>What is the difference between repeating something and choosing to return to it?</w:t>
      </w:r>
    </w:p>
    <w:p>
      <w:pPr>
        <w:pStyle w:val="ListBullet"/>
      </w:pPr>
      <w:r>
        <w:t>How can more options make commitment harder?</w:t>
      </w:r>
    </w:p>
    <w:p>
      <w:pPr>
        <w:pStyle w:val="ListBullet"/>
      </w:pPr>
      <w:r>
        <w:t>When might changing a plan protect the value underneath it?</w:t>
      </w:r>
    </w:p>
    <w:p>
      <w:pPr>
        <w:spacing w:before="260" w:after="60"/>
      </w:pPr>
      <w:r>
        <w:rPr>
          <w:rFonts w:ascii="Quicksand" w:hAnsi="Quicksand"/>
          <w:b/>
          <w:color w:val="CC4237"/>
          <w:sz w:val="28"/>
        </w:rPr>
        <w:t>Activity (17 min): Staying with what matters</w:t>
      </w:r>
    </w:p>
    <w:p>
      <w:pPr>
        <w:spacing w:after="120"/>
      </w:pPr>
      <w:r>
        <w:rPr>
          <w:rFonts w:ascii="PT Sans" w:hAnsi="PT Sans"/>
          <w:b w:val="0"/>
          <w:i w:val="0"/>
          <w:color w:val="5C4B51"/>
          <w:sz w:val="21"/>
        </w:rPr>
        <w:t>Materials: paper and pens; optional fictional scenario cards  ·  Grouping: groups of three or four</w:t>
      </w:r>
    </w:p>
    <w:p>
      <w:pPr>
        <w:pStyle w:val="ListNumber"/>
      </w:pPr>
      <w:r>
        <w:t>Give each group a fictional student who is trying to continue with a friendship, hobby, team, revision plan or personal goal.</w:t>
      </w:r>
    </w:p>
    <w:p>
      <w:pPr>
        <w:pStyle w:val="ListNumber"/>
      </w:pPr>
      <w:r>
        <w:t>Ask the group to identify the value beneath the commitment, such as belonging, learning, health or loyalty.</w:t>
      </w:r>
    </w:p>
    <w:p>
      <w:pPr>
        <w:pStyle w:val="ListNumber"/>
      </w:pPr>
      <w:r>
        <w:t>Name two things that may pull the person away, including changing circumstances, tiredness, distraction or another person's expectations.</w:t>
      </w:r>
    </w:p>
    <w:p>
      <w:pPr>
        <w:pStyle w:val="ListNumber"/>
      </w:pPr>
      <w:r>
        <w:t>Keeping the value in view, design a smaller or different way for the person to continue. Include a version in which pausing or asking for help is the responsible choice.</w:t>
      </w:r>
    </w:p>
    <w:p>
      <w:pPr>
        <w:pStyle w:val="ListNumber"/>
      </w:pPr>
      <w:r>
        <w:t>Each group shares its underlying value and one possible adaptation.</w:t>
      </w:r>
    </w:p>
    <w:p>
      <w:pPr>
        <w:pStyle w:val="ListNumber"/>
      </w:pPr>
      <w:r>
        <w:t>Students privately note one small way they could support something they care about, without being asked to name the commitment.</w:t>
      </w:r>
    </w:p>
    <w:p>
      <w:pPr>
        <w:spacing w:before="260" w:after="60"/>
      </w:pPr>
      <w:r>
        <w:rPr>
          <w:rFonts w:ascii="Quicksand" w:hAnsi="Quicksand"/>
          <w:b/>
          <w:color w:val="CC4237"/>
          <w:sz w:val="28"/>
        </w:rPr>
        <w:t>Reflect (6 min)</w:t>
      </w:r>
    </w:p>
    <w:p>
      <w:pPr>
        <w:spacing w:after="120"/>
      </w:pPr>
      <w:r>
        <w:rPr>
          <w:rFonts w:ascii="PT Sans" w:hAnsi="PT Sans"/>
          <w:b w:val="0"/>
          <w:i w:val="0"/>
          <w:color w:val="171636"/>
          <w:sz w:val="22"/>
        </w:rPr>
        <w:t>Without naming anything private, note what helps you return to something you care about on a difficult or distracting day. It may be a person, reminder, reason, rest or a change of plan.</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(2 min)</w:t>
      </w:r>
    </w:p>
    <w:p>
      <w:pPr>
        <w:spacing w:after="120"/>
      </w:pPr>
      <w:r>
        <w:rPr>
          <w:rFonts w:ascii="PT Sans" w:hAnsi="PT Sans"/>
          <w:b w:val="0"/>
          <w:i w:val="0"/>
          <w:color w:val="171636"/>
          <w:sz w:val="22"/>
        </w:rPr>
        <w:t>Commitment does not require a perfect record. When we notice we have drifted, we can remember what matters and decide whether, and how, we want to return.</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Carrying it forward, then identify the value and one flexible next step in a single fictional scenario.</w:t>
      </w:r>
    </w:p>
    <w:p>
      <w:pPr>
        <w:spacing w:after="120"/>
      </w:pPr>
      <w:r>
        <w:rPr>
          <w:rFonts w:ascii="PT Sans" w:hAnsi="PT Sans"/>
          <w:b w:val="0"/>
          <w:i w:val="0"/>
          <w:color w:val="5C4B51"/>
          <w:sz w:val="22"/>
        </w:rPr>
        <w:t>Assembly or large-group gathering: Invite a private choice about what to carry forward, then illustrate how the reason can remain while the method changes.</w:t>
      </w:r>
    </w:p>
    <w:p>
      <w:pPr>
        <w:spacing w:after="120"/>
      </w:pPr>
      <w:r>
        <w:rPr>
          <w:rFonts w:ascii="PT Sans" w:hAnsi="PT Sans"/>
          <w:b w:val="0"/>
          <w:i w:val="0"/>
          <w:color w:val="5C4B51"/>
          <w:sz w:val="22"/>
        </w:rPr>
        <w:t>Youth club or small group: Explore one fictional commitment together and make a menu of ways to continue, pause, seek support or reconsider it.</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Use familiar fictional examples and keep the value beneath each commitment concrete. Invite one-word or one-sentence responses.</w:t>
      </w:r>
    </w:p>
    <w:p>
      <w:pPr>
        <w:spacing w:after="120"/>
      </w:pPr>
      <w:r>
        <w:rPr>
          <w:rFonts w:ascii="PT Sans" w:hAnsi="PT Sans"/>
          <w:b w:val="0"/>
          <w:i w:val="0"/>
          <w:color w:val="5C4B51"/>
          <w:sz w:val="22"/>
        </w:rPr>
        <w:t>16 to 18: Explore how commitment and flexibility meet in decisions about study, work and relationships. Discuss how to distinguish persistence from pressure to remain in something harmful.</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Self-management: affective skills (perseverance)</w:t>
      </w:r>
    </w:p>
    <w:p>
      <w:pPr>
        <w:spacing w:after="120"/>
      </w:pPr>
      <w:r>
        <w:rPr>
          <w:rFonts w:ascii="PT Sans" w:hAnsi="PT Sans"/>
          <w:b w:val="0"/>
          <w:i w:val="0"/>
          <w:color w:val="5C4B51"/>
          <w:sz w:val="20"/>
        </w:rPr>
        <w:t>OECD Learning Compass 2030: Student agency; Transformative competencies: taking responsibility</w:t>
      </w:r>
    </w:p>
    <w:p>
      <w:pPr>
        <w:spacing w:after="120"/>
      </w:pPr>
      <w:r>
        <w:rPr>
          <w:rFonts w:ascii="PT Sans" w:hAnsi="PT Sans"/>
          <w:b w:val="0"/>
          <w:i w:val="0"/>
          <w:color w:val="5C4B51"/>
          <w:sz w:val="20"/>
        </w:rPr>
        <w:t>UNESCO MGIEP · SEL (EMC framework): Mindfulness (sustaining attention on what matters)</w:t>
      </w:r>
    </w:p>
    <w:p>
      <w:pPr>
        <w:spacing w:after="120"/>
      </w:pPr>
      <w:r>
        <w:rPr>
          <w:rFonts w:ascii="PT Sans" w:hAnsi="PT Sans"/>
          <w:b w:val="0"/>
          <w:i w:val="0"/>
          <w:color w:val="5C4B51"/>
          <w:sz w:val="20"/>
        </w:rPr>
        <w:t>WHO · Life skills education: Self-awareness — knowing what one values; Decision making — weighing options when a plan needs to change</w:t>
      </w:r>
    </w:p>
    <w:p>
      <w:pPr>
        <w:spacing w:after="120"/>
      </w:pPr>
      <w:r>
        <w:rPr>
          <w:rFonts w:ascii="PT Sans" w:hAnsi="PT Sans"/>
          <w:b w:val="0"/>
          <w:i w:val="0"/>
          <w:color w:val="5C4B51"/>
          <w:sz w:val="20"/>
        </w:rPr>
        <w:t>EU · LifeComp: P1 Self-regulation — resilience and a sense of purpose (P1.3); P2 Flexibility — conscious choices as circumstances change (P2.3)</w:t>
      </w:r>
    </w:p>
    <w:p>
      <w:pPr>
        <w:spacing w:after="120"/>
      </w:pPr>
      <w:r>
        <w:rPr>
          <w:rFonts w:ascii="PT Sans" w:hAnsi="PT Sans"/>
          <w:b w:val="0"/>
          <w:i w:val="0"/>
          <w:color w:val="5C4B51"/>
          <w:sz w:val="20"/>
        </w:rPr>
        <w:t>UNICEF MENA · Life Skills &amp; Citizenship Education: Self-management — working toward personal goals; Resilience — returning after distraction or difficulty</w:t>
      </w:r>
    </w:p>
    <w:p>
      <w:pPr>
        <w:spacing w:after="120"/>
      </w:pPr>
      <w:r>
        <w:rPr>
          <w:rFonts w:ascii="PT Sans" w:hAnsi="PT Sans"/>
          <w:b w:val="0"/>
          <w:i w:val="0"/>
          <w:color w:val="5C4B51"/>
          <w:sz w:val="20"/>
        </w:rPr>
        <w:t>Australia · Personal &amp; Social Capability: Self-management: goal setting; perseverance and adaptability</w:t>
      </w:r>
    </w:p>
    <w:p>
      <w:pPr>
        <w:spacing w:after="120"/>
      </w:pPr>
      <w:r>
        <w:rPr>
          <w:rFonts w:ascii="PT Sans" w:hAnsi="PT Sans"/>
          <w:b w:val="0"/>
          <w:i w:val="0"/>
          <w:color w:val="5C4B51"/>
          <w:sz w:val="20"/>
        </w:rPr>
        <w:t>Brazil · BNCC general competences: Responsibility and citizenship (GC 10) — flexibility, resilience and determination; Work and life project (GC 6)</w:t>
      </w:r>
    </w:p>
    <w:p>
      <w:pPr>
        <w:spacing w:after="120"/>
      </w:pPr>
      <w:r>
        <w:rPr>
          <w:rFonts w:ascii="PT Sans" w:hAnsi="PT Sans"/>
          <w:b w:val="0"/>
          <w:i w:val="0"/>
          <w:color w:val="5C4B51"/>
          <w:sz w:val="20"/>
        </w:rPr>
        <w:t>Canada · British Columbia: Personal Awareness and Responsibility — self-regulating (goals, perseverance); Positive Personal and Cultural Identity — personal values and choices</w:t>
      </w:r>
    </w:p>
    <w:p>
      <w:pPr>
        <w:spacing w:after="120"/>
      </w:pPr>
      <w:r>
        <w:rPr>
          <w:rFonts w:ascii="PT Sans" w:hAnsi="PT Sans"/>
          <w:b w:val="0"/>
          <w:i w:val="0"/>
          <w:color w:val="5C4B51"/>
          <w:sz w:val="20"/>
        </w:rPr>
        <w:t>Canada · Ontario: Personal skills — taking responsibility, monitoring progress (1.1); Critical and creative thinking — setting goals (1.5) · Gr 7–8: A1.3</w:t>
      </w:r>
    </w:p>
    <w:p>
      <w:pPr>
        <w:spacing w:after="120"/>
      </w:pPr>
      <w:r>
        <w:rPr>
          <w:rFonts w:ascii="PT Sans" w:hAnsi="PT Sans"/>
          <w:b w:val="0"/>
          <w:i w:val="0"/>
          <w:color w:val="5C4B51"/>
          <w:sz w:val="20"/>
        </w:rPr>
        <w:t>Chile · Orientación: Managing learning — goals, monitoring, redefining actions (OA 10, 7°–8°); perseverance in one's life project (OA 10, 1°–2° medio)</w:t>
      </w:r>
    </w:p>
    <w:p>
      <w:pPr>
        <w:spacing w:after="120"/>
      </w:pPr>
      <w:r>
        <w:rPr>
          <w:rFonts w:ascii="PT Sans" w:hAnsi="PT Sans"/>
          <w:b w:val="0"/>
          <w:i w:val="0"/>
          <w:color w:val="5C4B51"/>
          <w:sz w:val="20"/>
        </w:rPr>
        <w:t>England · PSHE Association: Living in the wider world: learning skills, realistic yet ambitious goals (KS3 L3)</w:t>
      </w:r>
    </w:p>
    <w:p>
      <w:pPr>
        <w:spacing w:after="120"/>
      </w:pPr>
      <w:r>
        <w:rPr>
          <w:rFonts w:ascii="PT Sans" w:hAnsi="PT Sans"/>
          <w:b w:val="0"/>
          <w:i w:val="0"/>
          <w:color w:val="5C4B51"/>
          <w:sz w:val="20"/>
        </w:rPr>
        <w:t>Finland · Transversal competences: L6 Working life competence and entrepreneurship — perseverance, facing setbacks; L1 — setting goals, evaluating one's progress</w:t>
      </w:r>
    </w:p>
    <w:p>
      <w:pPr>
        <w:spacing w:after="120"/>
      </w:pPr>
      <w:r>
        <w:rPr>
          <w:rFonts w:ascii="PT Sans" w:hAnsi="PT Sans"/>
          <w:b w:val="0"/>
          <w:i w:val="0"/>
          <w:color w:val="5C4B51"/>
          <w:sz w:val="20"/>
        </w:rPr>
        <w:t>Ghana · NaCCA core competencies (JHS): Personal Development and Leadership — perseverance, resilience and responsibility</w:t>
      </w:r>
    </w:p>
    <w:p>
      <w:pPr>
        <w:spacing w:after="120"/>
      </w:pPr>
      <w:r>
        <w:rPr>
          <w:rFonts w:ascii="PT Sans" w:hAnsi="PT Sans"/>
          <w:b w:val="0"/>
          <w:i w:val="0"/>
          <w:color w:val="5C4B51"/>
          <w:sz w:val="20"/>
        </w:rPr>
        <w:t>Hong Kong · Values Education Curriculum Framework (2026): Perseverance (堅毅) — striving for ideals, not only short-term gain (S4–S6); Commitment (承擔精神)</w:t>
      </w:r>
    </w:p>
    <w:p>
      <w:pPr>
        <w:spacing w:after="120"/>
      </w:pPr>
      <w:r>
        <w:rPr>
          <w:rFonts w:ascii="PT Sans" w:hAnsi="PT Sans"/>
          <w:b w:val="0"/>
          <w:i w:val="0"/>
          <w:color w:val="5C4B51"/>
          <w:sz w:val="20"/>
        </w:rPr>
        <w:t>India · NEP 2020: Life skills: resilience (NEP Principles); Holistic development of learners</w:t>
      </w:r>
    </w:p>
    <w:p>
      <w:pPr>
        <w:spacing w:after="120"/>
      </w:pPr>
      <w:r>
        <w:rPr>
          <w:rFonts w:ascii="PT Sans" w:hAnsi="PT Sans"/>
          <w:b w:val="0"/>
          <w:i w:val="0"/>
          <w:color w:val="5C4B51"/>
          <w:sz w:val="20"/>
        </w:rPr>
        <w:t>Indonesia · 8 dimensi profil lulusan: Independence (kemandirian) — responsibility and adapting (beradaptasi) in self-development</w:t>
      </w:r>
    </w:p>
    <w:p>
      <w:pPr>
        <w:spacing w:after="120"/>
      </w:pPr>
      <w:r>
        <w:rPr>
          <w:rFonts w:ascii="PT Sans" w:hAnsi="PT Sans"/>
          <w:b w:val="0"/>
          <w:i w:val="0"/>
          <w:color w:val="5C4B51"/>
          <w:sz w:val="20"/>
        </w:rPr>
        <w:t>Ireland · Junior Cycle Wellbeing: Aware — knowing my values and thinking through my decisions; Resilient — believing that with effort I can achieve</w:t>
      </w:r>
    </w:p>
    <w:p>
      <w:pPr>
        <w:spacing w:after="120"/>
      </w:pPr>
      <w:r>
        <w:rPr>
          <w:rFonts w:ascii="PT Sans" w:hAnsi="PT Sans"/>
          <w:b w:val="0"/>
          <w:i w:val="0"/>
          <w:color w:val="5C4B51"/>
          <w:sz w:val="20"/>
        </w:rPr>
        <w:t>Japan · Courses of Study (lower secondary): Moral education A — hope and courage: seeing things through despite setbacks (希望と勇気，克己と強い意志)</w:t>
      </w:r>
    </w:p>
    <w:p>
      <w:pPr>
        <w:spacing w:after="120"/>
      </w:pPr>
      <w:r>
        <w:rPr>
          <w:rFonts w:ascii="PT Sans" w:hAnsi="PT Sans"/>
          <w:b w:val="0"/>
          <w:i w:val="0"/>
          <w:color w:val="5C4B51"/>
          <w:sz w:val="20"/>
        </w:rPr>
        <w:t>Kenya · CBC core competencies &amp; values: Self-efficacy — setting goals and maintaining commitment to them; Core value — responsibility</w:t>
      </w:r>
    </w:p>
    <w:p>
      <w:pPr>
        <w:spacing w:after="120"/>
      </w:pPr>
      <w:r>
        <w:rPr>
          <w:rFonts w:ascii="PT Sans" w:hAnsi="PT Sans"/>
          <w:b w:val="0"/>
          <w:i w:val="0"/>
          <w:color w:val="5C4B51"/>
          <w:sz w:val="20"/>
        </w:rPr>
        <w:t>Mexico · Nueva Escuela Mexicana: Building a life project — valuing goals and noticing what helps or hinders reaching them</w:t>
      </w:r>
    </w:p>
    <w:p>
      <w:pPr>
        <w:spacing w:after="120"/>
      </w:pPr>
      <w:r>
        <w:rPr>
          <w:rFonts w:ascii="PT Sans" w:hAnsi="PT Sans"/>
          <w:b w:val="0"/>
          <w:i w:val="0"/>
          <w:color w:val="5C4B51"/>
          <w:sz w:val="20"/>
        </w:rPr>
        <w:t>New Zealand · Health and Physical Education: Hauora: taha wairua (values, meaning and purpose); Personal health and physical development — personal growth and development</w:t>
      </w:r>
    </w:p>
    <w:p>
      <w:pPr>
        <w:spacing w:after="120"/>
      </w:pPr>
      <w:r>
        <w:rPr>
          <w:rFonts w:ascii="PT Sans" w:hAnsi="PT Sans"/>
          <w:b w:val="0"/>
          <w:i w:val="0"/>
          <w:color w:val="5C4B51"/>
          <w:sz w:val="20"/>
        </w:rPr>
        <w:t>Scotland · Health and wellbeing (CfE): Planning for choices and changes — realistic choices, manageable goals (HWB 4-19a)</w:t>
      </w:r>
    </w:p>
    <w:p>
      <w:pPr>
        <w:spacing w:after="120"/>
      </w:pPr>
      <w:r>
        <w:rPr>
          <w:rFonts w:ascii="PT Sans" w:hAnsi="PT Sans"/>
          <w:b w:val="0"/>
          <w:i w:val="0"/>
          <w:color w:val="5C4B51"/>
          <w:sz w:val="20"/>
        </w:rPr>
        <w:t>Singapore · Character &amp; Citizenship Education: SEC: self-management and responsible decision-making; Becoming my Best Self</w:t>
      </w:r>
    </w:p>
    <w:p>
      <w:pPr>
        <w:spacing w:after="120"/>
      </w:pPr>
      <w:r>
        <w:rPr>
          <w:rFonts w:ascii="PT Sans" w:hAnsi="PT Sans"/>
          <w:b w:val="0"/>
          <w:i w:val="0"/>
          <w:color w:val="5C4B51"/>
          <w:sz w:val="20"/>
        </w:rPr>
        <w:t>South Africa · CAPS Life Orientation: Development of the self in society — life goals: perseverance, persistence and personal values (Gr 11)</w:t>
      </w:r>
    </w:p>
    <w:p>
      <w:pPr>
        <w:spacing w:after="120"/>
      </w:pPr>
      <w:r>
        <w:rPr>
          <w:rFonts w:ascii="PT Sans" w:hAnsi="PT Sans"/>
          <w:b w:val="0"/>
          <w:i w:val="0"/>
          <w:color w:val="5C4B51"/>
          <w:sz w:val="20"/>
        </w:rPr>
        <w:t>US · CASEL competencies: self-awareness, self-management, responsible decision-making</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Keep discussion focused on fictional situations and personal writing private. Do not praise persistence without considering safety, consent, changing needs and the right to leave. Follow usual procedures if a student discloses pressure, loss or a broken promise that raises concern.</w:t>
      </w:r>
    </w:p>
    <w:p>
      <w:pPr>
        <w:spacing w:after="0"/>
      </w:pPr>
      <w:r>
        <w:rPr>
          <w:rFonts w:ascii="PT Sans" w:hAnsi="PT Sans"/>
          <w:b w:val="0"/>
          <w:i w:val="0"/>
          <w:color w:val="5C4B51"/>
          <w:sz w:val="18"/>
        </w:rPr>
        <w:t>Recipes for Wellbeing · CC BY-NC 4.0 · free for classroom use  ·  deep dive: https://recipesforwellbeing.substack.com/p/the-skill-of-commitment</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What you keep coming back to  ·  https://rfweducators.netlify.app/lessons/commitment/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